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016</w:t>
                  </w:r>
                  <w:r>
                    <w:rPr>
                      <w:rFonts w:ascii="Arial" w:hAnsi="Arial" w:cs="Arial"/>
                      <w:b/>
                      <w:sz w:val="21"/>
                      <w:szCs w:val="21"/>
                    </w:rPr>
                    <w:t>/</w:t>
                  </w:r>
                  <w:r>
                    <w:rPr>
                      <w:rFonts w:ascii="Arial" w:hAnsi="Arial" w:cs="Arial"/>
                      <w:b/>
                      <w:sz w:val="21"/>
                      <w:szCs w:val="21"/>
                      <w:lang w:val="pt-BR"/>
                    </w:rPr>
                    <w:t>2020</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1982</w:t>
                  </w:r>
                  <w:r>
                    <w:rPr>
                      <w:rFonts w:ascii="Arial" w:hAnsi="Arial" w:cs="Arial"/>
                      <w:b/>
                      <w:sz w:val="21"/>
                      <w:szCs w:val="21"/>
                    </w:rPr>
                    <w:t>/</w:t>
                  </w:r>
                  <w:r>
                    <w:rPr>
                      <w:rFonts w:ascii="Arial" w:hAnsi="Arial" w:cs="Arial"/>
                      <w:b/>
                      <w:sz w:val="21"/>
                      <w:szCs w:val="21"/>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25</w:t>
                  </w:r>
                  <w:r>
                    <w:rPr>
                      <w:rFonts w:ascii="Arial" w:hAnsi="Arial" w:cs="Arial"/>
                      <w:b/>
                      <w:sz w:val="21"/>
                      <w:szCs w:val="21"/>
                    </w:rPr>
                    <w:t>/</w:t>
                  </w:r>
                  <w:r>
                    <w:rPr>
                      <w:rFonts w:hint="default" w:ascii="Arial" w:hAnsi="Arial" w:cs="Arial"/>
                      <w:b/>
                      <w:sz w:val="21"/>
                      <w:szCs w:val="21"/>
                      <w:lang w:val="pt-BR"/>
                    </w:rPr>
                    <w:t>11</w:t>
                  </w:r>
                  <w:r>
                    <w:rPr>
                      <w:rFonts w:ascii="Arial" w:hAnsi="Arial" w:cs="Arial"/>
                      <w:b/>
                      <w:sz w:val="21"/>
                      <w:szCs w:val="21"/>
                    </w:rPr>
                    <w:t>/</w:t>
                  </w:r>
                  <w:r>
                    <w:rPr>
                      <w:rFonts w:ascii="Arial" w:hAnsi="Arial" w:cs="Arial"/>
                      <w:b/>
                      <w:sz w:val="21"/>
                      <w:szCs w:val="21"/>
                      <w:lang w:val="pt-BR"/>
                    </w:rPr>
                    <w:t>2020</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016</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1982</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sz w:val="21"/>
                <w:szCs w:val="21"/>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016</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1982</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Educação,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EDUCAÇÃO</w:t>
      </w:r>
      <w:r>
        <w:t xml:space="preserve">, conforme consta no Processo Administrativo nº </w:t>
      </w:r>
      <w:r>
        <w:rPr>
          <w:lang w:val="pt-BR"/>
        </w:rPr>
        <w:t>1982</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25</w:t>
      </w:r>
      <w:r>
        <w:rPr>
          <w:rFonts w:ascii="Arial" w:hAnsi="Arial" w:cs="Arial"/>
          <w:b/>
          <w:bCs/>
          <w:sz w:val="22"/>
          <w:szCs w:val="22"/>
        </w:rPr>
        <w:t>/</w:t>
      </w:r>
      <w:r>
        <w:rPr>
          <w:rFonts w:hint="default" w:ascii="Arial" w:hAnsi="Arial" w:cs="Arial"/>
          <w:b/>
          <w:bCs/>
          <w:sz w:val="22"/>
          <w:szCs w:val="22"/>
          <w:lang w:val="pt-BR"/>
        </w:rPr>
        <w:t>11</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168.403,24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1982</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25</w:t>
            </w:r>
            <w:r>
              <w:rPr>
                <w:rFonts w:ascii="Arial" w:hAnsi="Arial" w:cs="Arial"/>
                <w:b/>
                <w:bCs/>
              </w:rPr>
              <w:t>/</w:t>
            </w:r>
            <w:r>
              <w:rPr>
                <w:rFonts w:hint="default" w:ascii="Arial" w:hAnsi="Arial" w:cs="Arial"/>
                <w:b/>
                <w:bCs/>
                <w:lang w:val="pt-BR"/>
              </w:rPr>
              <w:t>11</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016</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1982</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25</w:t>
            </w:r>
            <w:r>
              <w:rPr>
                <w:rFonts w:ascii="Arial" w:hAnsi="Arial" w:cs="Arial"/>
                <w:b/>
                <w:bCs/>
              </w:rPr>
              <w:t>/</w:t>
            </w:r>
            <w:r>
              <w:rPr>
                <w:rFonts w:hint="default" w:ascii="Arial" w:hAnsi="Arial" w:cs="Arial"/>
                <w:b/>
                <w:bCs/>
                <w:lang w:val="pt-BR"/>
              </w:rPr>
              <w:t>11</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19</w:t>
      </w:r>
      <w:bookmarkStart w:id="61" w:name="_GoBack"/>
      <w:bookmarkEnd w:id="61"/>
      <w:r>
        <w:rPr>
          <w:b/>
          <w:bCs w:val="0"/>
        </w:rPr>
        <w:t>/</w:t>
      </w:r>
      <w:r>
        <w:rPr>
          <w:rFonts w:hint="default"/>
          <w:b/>
          <w:bCs w:val="0"/>
          <w:lang w:val="pt-BR"/>
        </w:rPr>
        <w:t>11</w:t>
      </w:r>
      <w:r>
        <w:rPr>
          <w:b/>
          <w:bCs w:val="0"/>
        </w:rPr>
        <w:t>/</w:t>
      </w:r>
      <w:r>
        <w:rPr>
          <w:rFonts w:hint="default"/>
          <w:b/>
          <w:bCs w:val="0"/>
          <w:lang w:val="pt-BR"/>
        </w:rPr>
        <w:t>2020</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3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shd w:val="clear" w:color="auto" w:fill="auto"/>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tc>
        <w:tc>
          <w:tcPr>
            <w:tcW w:w="4751" w:type="dxa"/>
            <w:shd w:val="clear" w:color="auto" w:fill="auto"/>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0376</w:t>
            </w:r>
          </w:p>
        </w:tc>
        <w:tc>
          <w:tcPr>
            <w:tcW w:w="4751" w:type="dxa"/>
            <w:shd w:val="clear" w:color="auto" w:fill="auto"/>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4.4.90.51.00-0101</w:t>
            </w:r>
          </w:p>
        </w:tc>
        <w:tc>
          <w:tcPr>
            <w:tcW w:w="4751" w:type="dxa"/>
            <w:shd w:val="clear" w:color="auto" w:fill="auto"/>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77/2020</w:t>
            </w:r>
          </w:p>
        </w:tc>
        <w:tc>
          <w:tcPr>
            <w:tcW w:w="4751" w:type="dxa"/>
            <w:shd w:val="clear" w:color="auto" w:fill="auto"/>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cs="Arial"/>
          <w:sz w:val="22"/>
          <w:szCs w:val="22"/>
          <w:highlight w:val="none"/>
          <w:lang w:val="pt-BR"/>
        </w:rPr>
        <w:t>168.403,24</w:t>
      </w:r>
      <w:r>
        <w:rPr>
          <w:rFonts w:hint="default"/>
          <w:highlight w:val="none"/>
          <w:lang w:val="pt-BR"/>
        </w:rPr>
        <w:t xml:space="preserve"> (cento e sessenta e oito mil quatrocentos e três reais e vinte e quatro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016</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016</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23</w:t>
      </w:r>
      <w:r>
        <w:rPr>
          <w:rFonts w:ascii="Arial" w:hAnsi="Arial" w:cs="Arial"/>
          <w:b/>
          <w:sz w:val="22"/>
          <w:szCs w:val="22"/>
        </w:rPr>
        <w:t>/</w:t>
      </w:r>
      <w:r>
        <w:rPr>
          <w:rFonts w:hint="default" w:ascii="Arial" w:hAnsi="Arial" w:cs="Arial"/>
          <w:b/>
          <w:sz w:val="22"/>
          <w:szCs w:val="22"/>
          <w:lang w:val="pt-BR"/>
        </w:rPr>
        <w:t>11</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17/11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016</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05 </w:t>
      </w:r>
      <w:r>
        <w:rPr>
          <w:rFonts w:ascii="Arial" w:hAnsi="Arial" w:cs="Arial"/>
          <w:sz w:val="22"/>
          <w:szCs w:val="22"/>
        </w:rPr>
        <w:t>de</w:t>
      </w:r>
      <w:r>
        <w:rPr>
          <w:rFonts w:hint="default" w:ascii="Arial" w:hAnsi="Arial" w:cs="Arial"/>
          <w:sz w:val="22"/>
          <w:szCs w:val="22"/>
          <w:lang w:val="pt-BR"/>
        </w:rPr>
        <w:t xml:space="preserve"> novembro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hint="default" w:ascii="Arial" w:hAnsi="Arial" w:cs="Arial"/>
          <w:b/>
          <w:sz w:val="22"/>
          <w:szCs w:val="22"/>
          <w:lang w:val="pt-BR"/>
        </w:rPr>
      </w:pPr>
      <w:r>
        <w:rPr>
          <w:rFonts w:ascii="Arial" w:hAnsi="Arial" w:cs="Arial"/>
          <w:b/>
          <w:sz w:val="22"/>
          <w:szCs w:val="22"/>
        </w:rPr>
        <w:t>Presidente da Comissão Permanente de Licitação</w:t>
      </w:r>
      <w:r>
        <w:rPr>
          <w:rFonts w:ascii="Arial" w:hAnsi="Arial" w:cs="Arial"/>
          <w:b/>
          <w:sz w:val="22"/>
          <w:szCs w:val="22"/>
        </w:rPr>
        <w:br w:type="textWrapping"/>
      </w:r>
      <w:r>
        <w:rPr>
          <w:rFonts w:hint="default" w:ascii="Arial" w:hAnsi="Arial" w:cs="Arial"/>
          <w:b/>
          <w:sz w:val="22"/>
          <w:szCs w:val="22"/>
          <w:lang w:val="pt-BR"/>
        </w:rPr>
        <w:t>Portaria nº 038/2020</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016</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 xml:space="preserve">120 </w:t>
      </w:r>
      <w:r>
        <w:rPr>
          <w:rFonts w:ascii="Arial" w:hAnsi="Arial" w:cs="Arial"/>
          <w:sz w:val="18"/>
          <w:szCs w:val="18"/>
        </w:rPr>
        <w:t>(</w:t>
      </w:r>
      <w:r>
        <w:rPr>
          <w:rFonts w:hint="default" w:ascii="Arial" w:hAnsi="Arial" w:cs="Arial"/>
          <w:sz w:val="18"/>
          <w:szCs w:val="18"/>
          <w:lang w:val="pt-BR"/>
        </w:rPr>
        <w:t>cento e vinte</w:t>
      </w:r>
      <w:r>
        <w:rPr>
          <w:rFonts w:ascii="Arial" w:hAnsi="Arial" w:cs="Arial"/>
          <w:sz w:val="18"/>
          <w:szCs w:val="18"/>
        </w:rPr>
        <w:t>)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016</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016</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w:t>
      </w:r>
      <w:r>
        <w:rPr>
          <w:rFonts w:hint="default" w:ascii="Arial" w:hAnsi="Arial" w:cs="Arial"/>
          <w:sz w:val="22"/>
          <w:szCs w:val="22"/>
          <w:lang w:val="pt-BR"/>
        </w:rPr>
        <w:t>cumprimos</w:t>
      </w:r>
      <w:r>
        <w:rPr>
          <w:rFonts w:ascii="Arial" w:hAnsi="Arial" w:cs="Arial"/>
          <w:sz w:val="22"/>
          <w:szCs w:val="22"/>
        </w:rPr>
        <w:t xml:space="preserve"> plenamente</w:t>
      </w:r>
      <w:r>
        <w:rPr>
          <w:rFonts w:hint="default" w:ascii="Arial" w:hAnsi="Arial" w:cs="Arial"/>
          <w:sz w:val="22"/>
          <w:szCs w:val="22"/>
          <w:lang w:val="pt-BR"/>
        </w:rPr>
        <w:t xml:space="preserve"> com todos</w:t>
      </w:r>
      <w:r>
        <w:rPr>
          <w:rFonts w:ascii="Arial" w:hAnsi="Arial" w:cs="Arial"/>
          <w:sz w:val="22"/>
          <w:szCs w:val="22"/>
        </w:rPr>
        <w:t xml:space="preserv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016</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016</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EDUCAÇÃO.</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016</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016</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016</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016</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w:t>
      </w:r>
      <w:r>
        <w:rPr>
          <w:rFonts w:hint="default" w:ascii="Arial" w:hAnsi="Arial" w:cs="Arial"/>
          <w:sz w:val="22"/>
          <w:szCs w:val="22"/>
          <w:lang w:val="pt-BR"/>
        </w:rPr>
        <w:t xml:space="preserve">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016</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1982/2020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1982</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016</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210 (duzentos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3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shd w:val="clear" w:color="auto" w:fill="auto"/>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4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shd w:val="clear" w:color="auto" w:fill="auto"/>
          </w:tcPr>
          <w:p>
            <w:pPr>
              <w:jc w:val="both"/>
              <w:rPr>
                <w:rFonts w:hint="default"/>
                <w:b/>
                <w:sz w:val="18"/>
                <w:szCs w:val="18"/>
                <w:highlight w:val="none"/>
                <w:lang w:val="pt-BR"/>
              </w:rPr>
            </w:pPr>
            <w:r>
              <w:rPr>
                <w:rFonts w:hint="default" w:ascii="Arial" w:hAnsi="Arial" w:cs="Arial"/>
                <w:b/>
                <w:bCs/>
                <w:sz w:val="18"/>
                <w:szCs w:val="18"/>
                <w:highlight w:val="none"/>
                <w:lang w:val="pt-BR"/>
              </w:rPr>
              <w:t>SEÇÃO PEDAGÓGICA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192"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tc>
        <w:tc>
          <w:tcPr>
            <w:tcW w:w="4751" w:type="dxa"/>
            <w:shd w:val="clear" w:color="auto" w:fill="auto"/>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0376</w:t>
            </w:r>
          </w:p>
        </w:tc>
        <w:tc>
          <w:tcPr>
            <w:tcW w:w="4751" w:type="dxa"/>
            <w:shd w:val="clear" w:color="auto" w:fill="auto"/>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4.4.90.51.00-0101</w:t>
            </w:r>
          </w:p>
        </w:tc>
        <w:tc>
          <w:tcPr>
            <w:tcW w:w="4751" w:type="dxa"/>
            <w:shd w:val="clear" w:color="auto" w:fill="auto"/>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307" w:hRule="atLeast"/>
        </w:trPr>
        <w:tc>
          <w:tcPr>
            <w:tcW w:w="2538" w:type="dxa"/>
            <w:shd w:val="clear" w:color="auto" w:fill="auto"/>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shd w:val="clear" w:color="auto" w:fill="auto"/>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77/2020</w:t>
            </w:r>
          </w:p>
        </w:tc>
        <w:tc>
          <w:tcPr>
            <w:tcW w:w="4751" w:type="dxa"/>
            <w:shd w:val="clear" w:color="auto" w:fill="auto"/>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016/2020.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shd w:val="clear" w:color="auto" w:fill="auto"/>
        <w:tblLayout w:type="fixed"/>
        <w:tblCellMar>
          <w:top w:w="108" w:type="dxa"/>
          <w:left w:w="108" w:type="dxa"/>
          <w:bottom w:w="108" w:type="dxa"/>
          <w:right w:w="108" w:type="dxa"/>
        </w:tblCellMar>
      </w:tblPr>
      <w:tblGrid>
        <w:gridCol w:w="1699"/>
        <w:gridCol w:w="2979"/>
        <w:gridCol w:w="4536"/>
      </w:tblGrid>
      <w:tr>
        <w:tblPrEx>
          <w:shd w:val="clear" w:color="auto" w:fill="auto"/>
          <w:tblLayout w:type="fixed"/>
        </w:tblPrEx>
        <w:trPr>
          <w:tblCellSpacing w:w="0" w:type="dxa"/>
        </w:trPr>
        <w:tc>
          <w:tcPr>
            <w:tcW w:w="1699"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016</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016</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Educação</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016</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instalação de 01 (um) posto de transformação 112,5kva na tensão primária 13,8kv e tensão secundária 220/127v, unidade consumidora nova, bem como a implantação de instalações elétricas em baixa tensão para condicionadores de ar na escola municipal Mauro Wandelino Weiss, localizada na Av. Tancredo Neves, 360, Parque Castelândia, em Primavera do Leste -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016/2020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novembro 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r>
        <w:rPr>
          <w:rFonts w:hint="default" w:ascii="Arial" w:hAnsi="Arial" w:cs="Arial"/>
          <w:b/>
          <w:sz w:val="22"/>
          <w:szCs w:val="22"/>
          <w:lang w:val="pt-BR"/>
        </w:rPr>
        <w:br w:type="textWrapping"/>
      </w:r>
      <w:r>
        <w:rPr>
          <w:rFonts w:hint="default" w:ascii="Arial" w:hAnsi="Arial" w:cs="Arial"/>
          <w:b/>
          <w:sz w:val="22"/>
          <w:szCs w:val="22"/>
          <w:lang w:val="pt-BR"/>
        </w:rPr>
        <w:t>Portaria nº 038/2020</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hint="default" w:ascii="Arial" w:hAnsi="Arial" w:cs="Arial"/>
        <w:sz w:val="16"/>
        <w:szCs w:val="16"/>
        <w:lang w:val="pt-BR"/>
      </w:rPr>
      <w:t xml:space="preserve"> 016</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hint="default" w:ascii="Arial" w:hAnsi="Arial" w:cs="Arial"/>
        <w:sz w:val="16"/>
        <w:szCs w:val="16"/>
        <w:lang w:val="pt-BR"/>
      </w:rPr>
      <w:t>1982</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28325EF"/>
    <w:rsid w:val="04043E73"/>
    <w:rsid w:val="07151D79"/>
    <w:rsid w:val="07484206"/>
    <w:rsid w:val="0A8715A7"/>
    <w:rsid w:val="0BFE6104"/>
    <w:rsid w:val="0C68195B"/>
    <w:rsid w:val="0C697691"/>
    <w:rsid w:val="0CE970EE"/>
    <w:rsid w:val="0D5C327A"/>
    <w:rsid w:val="0E3C740D"/>
    <w:rsid w:val="10774888"/>
    <w:rsid w:val="115300D0"/>
    <w:rsid w:val="128D66E5"/>
    <w:rsid w:val="132A11B2"/>
    <w:rsid w:val="14063CD2"/>
    <w:rsid w:val="14175551"/>
    <w:rsid w:val="15166D18"/>
    <w:rsid w:val="158057A4"/>
    <w:rsid w:val="16F212BE"/>
    <w:rsid w:val="1968243D"/>
    <w:rsid w:val="19CD55BD"/>
    <w:rsid w:val="1A6431B3"/>
    <w:rsid w:val="1BC3436D"/>
    <w:rsid w:val="1C0342C0"/>
    <w:rsid w:val="1E2A3959"/>
    <w:rsid w:val="1E587CAE"/>
    <w:rsid w:val="1F9C3F81"/>
    <w:rsid w:val="20614BAA"/>
    <w:rsid w:val="21F47B6A"/>
    <w:rsid w:val="227A0505"/>
    <w:rsid w:val="22AC77B2"/>
    <w:rsid w:val="234C7AA0"/>
    <w:rsid w:val="24E811A0"/>
    <w:rsid w:val="26744675"/>
    <w:rsid w:val="2700080D"/>
    <w:rsid w:val="2833270A"/>
    <w:rsid w:val="28AC4F45"/>
    <w:rsid w:val="2AF33546"/>
    <w:rsid w:val="2B487D7D"/>
    <w:rsid w:val="2BA0335E"/>
    <w:rsid w:val="2CAE0A33"/>
    <w:rsid w:val="2D333888"/>
    <w:rsid w:val="2E334383"/>
    <w:rsid w:val="2F36121E"/>
    <w:rsid w:val="30A44744"/>
    <w:rsid w:val="31814A20"/>
    <w:rsid w:val="346F2A77"/>
    <w:rsid w:val="35AF6480"/>
    <w:rsid w:val="35C620D1"/>
    <w:rsid w:val="36934F38"/>
    <w:rsid w:val="375B7D29"/>
    <w:rsid w:val="39D66114"/>
    <w:rsid w:val="3C873AF0"/>
    <w:rsid w:val="3D5C5F10"/>
    <w:rsid w:val="3DA611BF"/>
    <w:rsid w:val="3DC36B5D"/>
    <w:rsid w:val="3E6B24FB"/>
    <w:rsid w:val="3E9203C8"/>
    <w:rsid w:val="3EA67DCA"/>
    <w:rsid w:val="43745B5A"/>
    <w:rsid w:val="43A26A07"/>
    <w:rsid w:val="467F787B"/>
    <w:rsid w:val="47370D53"/>
    <w:rsid w:val="47453D57"/>
    <w:rsid w:val="47EC2CC3"/>
    <w:rsid w:val="4A803B4F"/>
    <w:rsid w:val="4BF86053"/>
    <w:rsid w:val="4C23123A"/>
    <w:rsid w:val="4C4D6776"/>
    <w:rsid w:val="4D0C492B"/>
    <w:rsid w:val="4EAA2EDC"/>
    <w:rsid w:val="4EF51114"/>
    <w:rsid w:val="4F9704AE"/>
    <w:rsid w:val="51650C5A"/>
    <w:rsid w:val="51655364"/>
    <w:rsid w:val="51A21F1A"/>
    <w:rsid w:val="53396A1D"/>
    <w:rsid w:val="54F81488"/>
    <w:rsid w:val="55440236"/>
    <w:rsid w:val="556E0BC6"/>
    <w:rsid w:val="56BD51D9"/>
    <w:rsid w:val="56CD6945"/>
    <w:rsid w:val="57E8363B"/>
    <w:rsid w:val="592B1FEA"/>
    <w:rsid w:val="5A0E3275"/>
    <w:rsid w:val="5B507138"/>
    <w:rsid w:val="5B7D5B7B"/>
    <w:rsid w:val="5BDB1229"/>
    <w:rsid w:val="5C9C12BF"/>
    <w:rsid w:val="5D442E4E"/>
    <w:rsid w:val="5EAA040C"/>
    <w:rsid w:val="60781307"/>
    <w:rsid w:val="616D1B60"/>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19D28D3"/>
    <w:rsid w:val="72E118F0"/>
    <w:rsid w:val="733453F7"/>
    <w:rsid w:val="742731CF"/>
    <w:rsid w:val="7537091A"/>
    <w:rsid w:val="76672BAF"/>
    <w:rsid w:val="776F0AA2"/>
    <w:rsid w:val="779C0A5C"/>
    <w:rsid w:val="7AEA5651"/>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28565</Words>
  <Characters>163255</Characters>
  <Lines>1372</Lines>
  <Paragraphs>389</Paragraphs>
  <TotalTime>94</TotalTime>
  <ScaleCrop>false</ScaleCrop>
  <LinksUpToDate>false</LinksUpToDate>
  <CharactersWithSpaces>191152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2020-09-25T16:11:00Z</cp:lastPrinted>
  <dcterms:modified xsi:type="dcterms:W3CDTF">2020-11-11T16:59:26Z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